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E6" w:rsidRPr="00EC43E6" w:rsidRDefault="00EC43E6" w:rsidP="00EC43E6">
      <w:pPr>
        <w:shd w:val="clear" w:color="auto" w:fill="FFFFFF"/>
        <w:spacing w:after="40" w:line="240" w:lineRule="auto"/>
        <w:jc w:val="center"/>
        <w:rPr>
          <w:rFonts w:ascii="Arial" w:eastAsia="Times New Roman" w:hAnsi="Arial" w:cs="Arial"/>
          <w:color w:val="222222"/>
          <w:sz w:val="24"/>
          <w:szCs w:val="24"/>
          <w:lang w:eastAsia="it-IT"/>
        </w:rPr>
      </w:pPr>
      <w:bookmarkStart w:id="0" w:name="_GoBack"/>
      <w:r w:rsidRPr="00EC43E6">
        <w:rPr>
          <w:rFonts w:ascii="Arial" w:eastAsia="Times New Roman" w:hAnsi="Arial" w:cs="Arial"/>
          <w:b/>
          <w:bCs/>
          <w:color w:val="1D2129"/>
          <w:lang w:eastAsia="it-IT"/>
        </w:rPr>
        <w:t>GINOSA, BILANCIO 2024/26 APPROVATO NELL’ANNO CORRENTE</w:t>
      </w:r>
      <w:bookmarkEnd w:id="0"/>
      <w:r w:rsidRPr="00EC43E6">
        <w:rPr>
          <w:rFonts w:ascii="Arial" w:eastAsia="Times New Roman" w:hAnsi="Arial" w:cs="Arial"/>
          <w:b/>
          <w:bCs/>
          <w:color w:val="1D2129"/>
          <w:lang w:eastAsia="it-IT"/>
        </w:rPr>
        <w:t>: RISULTATO STORICO NELL’OTTICA DELLA PROGRAMMAZIONE AMMINISTRATIVA.</w:t>
      </w:r>
    </w:p>
    <w:p w:rsidR="00EC43E6" w:rsidRPr="00EC43E6" w:rsidRDefault="00EC43E6" w:rsidP="00EC43E6">
      <w:pPr>
        <w:shd w:val="clear" w:color="auto" w:fill="FFFFFF"/>
        <w:spacing w:after="40" w:line="240" w:lineRule="auto"/>
        <w:jc w:val="center"/>
        <w:rPr>
          <w:rFonts w:ascii="Arial" w:eastAsia="Times New Roman" w:hAnsi="Arial" w:cs="Arial"/>
          <w:color w:val="222222"/>
          <w:sz w:val="24"/>
          <w:szCs w:val="24"/>
          <w:lang w:eastAsia="it-IT"/>
        </w:rPr>
      </w:pPr>
      <w:r w:rsidRPr="00EC43E6">
        <w:rPr>
          <w:rFonts w:ascii="Arial" w:eastAsia="Times New Roman" w:hAnsi="Arial" w:cs="Arial"/>
          <w:b/>
          <w:bCs/>
          <w:color w:val="1D2129"/>
          <w:lang w:eastAsia="it-IT"/>
        </w:rPr>
        <w:t>MAGGIORI STANZIAMENTI PER POLITICHE SOCIALI, SVILUPPO SOSTENIBILE, ASSETTO DEL TERRITORIO E SICUREZZA</w:t>
      </w:r>
    </w:p>
    <w:p w:rsidR="00EC43E6" w:rsidRPr="00EC43E6" w:rsidRDefault="00EC43E6" w:rsidP="00EC43E6">
      <w:pPr>
        <w:spacing w:after="0" w:line="240" w:lineRule="auto"/>
        <w:rPr>
          <w:rFonts w:ascii="Times New Roman" w:eastAsia="Times New Roman" w:hAnsi="Times New Roman" w:cs="Times New Roman"/>
          <w:sz w:val="24"/>
          <w:szCs w:val="24"/>
          <w:lang w:eastAsia="it-IT"/>
        </w:rPr>
      </w:pPr>
      <w:r w:rsidRPr="00EC43E6">
        <w:rPr>
          <w:rFonts w:ascii="Arial" w:eastAsia="Times New Roman" w:hAnsi="Arial" w:cs="Arial"/>
          <w:color w:val="222222"/>
          <w:sz w:val="24"/>
          <w:szCs w:val="24"/>
          <w:lang w:eastAsia="it-IT"/>
        </w:rPr>
        <w:br/>
      </w:r>
    </w:p>
    <w:p w:rsidR="00EC43E6" w:rsidRPr="00EC43E6" w:rsidRDefault="00EC43E6" w:rsidP="00EC43E6">
      <w:pPr>
        <w:shd w:val="clear" w:color="auto" w:fill="FFFFFF"/>
        <w:spacing w:after="40" w:line="240" w:lineRule="auto"/>
        <w:jc w:val="both"/>
        <w:rPr>
          <w:rFonts w:ascii="Arial" w:eastAsia="Times New Roman" w:hAnsi="Arial" w:cs="Arial"/>
          <w:color w:val="222222"/>
          <w:sz w:val="24"/>
          <w:szCs w:val="24"/>
          <w:lang w:eastAsia="it-IT"/>
        </w:rPr>
      </w:pPr>
      <w:r w:rsidRPr="00EC43E6">
        <w:rPr>
          <w:rFonts w:ascii="Arial" w:eastAsia="Times New Roman" w:hAnsi="Arial" w:cs="Arial"/>
          <w:color w:val="1D2129"/>
          <w:lang w:eastAsia="it-IT"/>
        </w:rPr>
        <w:t>Approvato il Bilancio di Previsione 2024-26 durante il Consiglio Comunale svoltosi il 28 dicembre 2023. Il Documento sintetizza una situazione finanziaria solida dei conti comunali e una visione strategica precisa della Città.</w:t>
      </w:r>
    </w:p>
    <w:p w:rsidR="00EC43E6" w:rsidRPr="00EC43E6" w:rsidRDefault="00EC43E6" w:rsidP="00EC43E6">
      <w:pPr>
        <w:spacing w:after="0" w:line="240" w:lineRule="auto"/>
        <w:rPr>
          <w:rFonts w:ascii="Times New Roman" w:eastAsia="Times New Roman" w:hAnsi="Times New Roman" w:cs="Times New Roman"/>
          <w:sz w:val="24"/>
          <w:szCs w:val="24"/>
          <w:lang w:eastAsia="it-IT"/>
        </w:rPr>
      </w:pPr>
      <w:r w:rsidRPr="00EC43E6">
        <w:rPr>
          <w:rFonts w:ascii="Arial" w:eastAsia="Times New Roman" w:hAnsi="Arial" w:cs="Arial"/>
          <w:color w:val="222222"/>
          <w:sz w:val="24"/>
          <w:szCs w:val="24"/>
          <w:lang w:eastAsia="it-IT"/>
        </w:rPr>
        <w:br/>
      </w:r>
    </w:p>
    <w:p w:rsidR="00EC43E6" w:rsidRPr="00EC43E6" w:rsidRDefault="00EC43E6" w:rsidP="00EC43E6">
      <w:pPr>
        <w:shd w:val="clear" w:color="auto" w:fill="FFFFFF"/>
        <w:spacing w:after="40" w:line="240" w:lineRule="auto"/>
        <w:jc w:val="both"/>
        <w:rPr>
          <w:rFonts w:ascii="Arial" w:eastAsia="Times New Roman" w:hAnsi="Arial" w:cs="Arial"/>
          <w:color w:val="222222"/>
          <w:sz w:val="24"/>
          <w:szCs w:val="24"/>
          <w:lang w:eastAsia="it-IT"/>
        </w:rPr>
      </w:pPr>
      <w:r w:rsidRPr="00EC43E6">
        <w:rPr>
          <w:rFonts w:ascii="Arial" w:eastAsia="Times New Roman" w:hAnsi="Arial" w:cs="Arial"/>
          <w:color w:val="1D2129"/>
          <w:lang w:eastAsia="it-IT"/>
        </w:rPr>
        <w:t>I dati sono stati illustrati durante la conferenza stampa svoltasi stamattina presso il Comune di Ginosa alla presenza del sindaco Vito Parisi, degli assessori e dei consiglieri. Nel corso dell’incontro con gli organi di informazione, sono stati presentati anche i risultati del 2023. </w:t>
      </w:r>
    </w:p>
    <w:p w:rsidR="00EC43E6" w:rsidRPr="00EC43E6" w:rsidRDefault="00EC43E6" w:rsidP="00EC43E6">
      <w:pPr>
        <w:spacing w:after="0" w:line="240" w:lineRule="auto"/>
        <w:rPr>
          <w:rFonts w:ascii="Times New Roman" w:eastAsia="Times New Roman" w:hAnsi="Times New Roman" w:cs="Times New Roman"/>
          <w:sz w:val="24"/>
          <w:szCs w:val="24"/>
          <w:lang w:eastAsia="it-IT"/>
        </w:rPr>
      </w:pPr>
      <w:r w:rsidRPr="00EC43E6">
        <w:rPr>
          <w:rFonts w:ascii="Arial" w:eastAsia="Times New Roman" w:hAnsi="Arial" w:cs="Arial"/>
          <w:color w:val="222222"/>
          <w:sz w:val="24"/>
          <w:szCs w:val="24"/>
          <w:lang w:eastAsia="it-IT"/>
        </w:rPr>
        <w:br/>
      </w:r>
    </w:p>
    <w:p w:rsidR="00EC43E6" w:rsidRPr="00EC43E6" w:rsidRDefault="00EC43E6" w:rsidP="00EC43E6">
      <w:pPr>
        <w:shd w:val="clear" w:color="auto" w:fill="FFFFFF"/>
        <w:spacing w:after="40" w:line="240" w:lineRule="auto"/>
        <w:jc w:val="both"/>
        <w:rPr>
          <w:rFonts w:ascii="Arial" w:eastAsia="Times New Roman" w:hAnsi="Arial" w:cs="Arial"/>
          <w:color w:val="222222"/>
          <w:sz w:val="24"/>
          <w:szCs w:val="24"/>
          <w:lang w:eastAsia="it-IT"/>
        </w:rPr>
      </w:pPr>
      <w:r w:rsidRPr="00EC43E6">
        <w:rPr>
          <w:rFonts w:ascii="Arial" w:eastAsia="Times New Roman" w:hAnsi="Arial" w:cs="Arial"/>
          <w:color w:val="1D2129"/>
          <w:lang w:eastAsia="it-IT"/>
        </w:rPr>
        <w:t>Dagli stanziamenti appostati nei capitoli del Bilancio, emerge una maggiore attenzione e investimento, rispetto al Bilancio precedente, per le azioni riferite all’Ordine Pubblico e Sicurezza (+200.000 €) Istruzione e Diritto allo Studio (+150.000 €) Assetto del Territorio ed Edilizia Abitativa (+1.450.000 €) Sviluppo Sostenibile e Tutela del Territorio dell’Ambiente (+1.600.000 €) Diritti Sociali, Politiche Sociali e Famiglia (+1.800.000 €) Politiche del Lavoro e Formazione Professionale (+30.000 €) Fondi e Accantonamenti (+350.000 €).</w:t>
      </w:r>
    </w:p>
    <w:p w:rsidR="00EC43E6" w:rsidRPr="00EC43E6" w:rsidRDefault="00EC43E6" w:rsidP="00EC43E6">
      <w:pPr>
        <w:spacing w:after="0" w:line="240" w:lineRule="auto"/>
        <w:rPr>
          <w:rFonts w:ascii="Times New Roman" w:eastAsia="Times New Roman" w:hAnsi="Times New Roman" w:cs="Times New Roman"/>
          <w:sz w:val="24"/>
          <w:szCs w:val="24"/>
          <w:lang w:eastAsia="it-IT"/>
        </w:rPr>
      </w:pPr>
      <w:r w:rsidRPr="00EC43E6">
        <w:rPr>
          <w:rFonts w:ascii="Arial" w:eastAsia="Times New Roman" w:hAnsi="Arial" w:cs="Arial"/>
          <w:color w:val="222222"/>
          <w:sz w:val="24"/>
          <w:szCs w:val="24"/>
          <w:lang w:eastAsia="it-IT"/>
        </w:rPr>
        <w:br/>
      </w:r>
    </w:p>
    <w:p w:rsidR="00EC43E6" w:rsidRPr="00EC43E6" w:rsidRDefault="00EC43E6" w:rsidP="00EC43E6">
      <w:pPr>
        <w:shd w:val="clear" w:color="auto" w:fill="FFFFFF"/>
        <w:spacing w:after="40" w:line="240" w:lineRule="auto"/>
        <w:jc w:val="both"/>
        <w:rPr>
          <w:rFonts w:ascii="Arial" w:eastAsia="Times New Roman" w:hAnsi="Arial" w:cs="Arial"/>
          <w:color w:val="222222"/>
          <w:sz w:val="24"/>
          <w:szCs w:val="24"/>
          <w:lang w:eastAsia="it-IT"/>
        </w:rPr>
      </w:pPr>
      <w:r w:rsidRPr="00EC43E6">
        <w:rPr>
          <w:rFonts w:ascii="Arial" w:eastAsia="Times New Roman" w:hAnsi="Arial" w:cs="Arial"/>
          <w:color w:val="1D2129"/>
          <w:lang w:eastAsia="it-IT"/>
        </w:rPr>
        <w:t>Stabili gli investimenti per la Tutela e la Valorizzazione dei Beni e Attività Culturali (726.000 €) Politiche Giovanili, Sport e Tempo Libero (206.250 €) Turismo (180.000 €) Trasporti e Diritto alla Mobilità (1.325.300 €) Soccorso Civile (25.000 €) Sviluppo Economico e Competitività (38.200 €) Agricoltura (100.200 €).</w:t>
      </w:r>
    </w:p>
    <w:p w:rsidR="00EC43E6" w:rsidRPr="00EC43E6" w:rsidRDefault="00EC43E6" w:rsidP="00EC43E6">
      <w:pPr>
        <w:shd w:val="clear" w:color="auto" w:fill="FFFFFF"/>
        <w:spacing w:after="40" w:line="240" w:lineRule="auto"/>
        <w:jc w:val="both"/>
        <w:rPr>
          <w:rFonts w:ascii="Arial" w:eastAsia="Times New Roman" w:hAnsi="Arial" w:cs="Arial"/>
          <w:color w:val="222222"/>
          <w:sz w:val="24"/>
          <w:szCs w:val="24"/>
          <w:lang w:eastAsia="it-IT"/>
        </w:rPr>
      </w:pPr>
      <w:r w:rsidRPr="00EC43E6">
        <w:rPr>
          <w:rFonts w:ascii="Arial" w:eastAsia="Times New Roman" w:hAnsi="Arial" w:cs="Arial"/>
          <w:color w:val="1D2129"/>
          <w:lang w:eastAsia="it-IT"/>
        </w:rPr>
        <w:t>Netta riduzione delle previsioni di spesa per servizi istituzionali generali e di gestione, che passano da 8.812.896 € a 7.323.126 € (-1.489.770 €).</w:t>
      </w:r>
    </w:p>
    <w:p w:rsidR="00EC43E6" w:rsidRPr="00EC43E6" w:rsidRDefault="00EC43E6" w:rsidP="00EC43E6">
      <w:pPr>
        <w:spacing w:after="0" w:line="240" w:lineRule="auto"/>
        <w:rPr>
          <w:rFonts w:ascii="Times New Roman" w:eastAsia="Times New Roman" w:hAnsi="Times New Roman" w:cs="Times New Roman"/>
          <w:sz w:val="24"/>
          <w:szCs w:val="24"/>
          <w:lang w:eastAsia="it-IT"/>
        </w:rPr>
      </w:pPr>
      <w:r w:rsidRPr="00EC43E6">
        <w:rPr>
          <w:rFonts w:ascii="Arial" w:eastAsia="Times New Roman" w:hAnsi="Arial" w:cs="Arial"/>
          <w:color w:val="222222"/>
          <w:sz w:val="24"/>
          <w:szCs w:val="24"/>
          <w:lang w:eastAsia="it-IT"/>
        </w:rPr>
        <w:br/>
      </w:r>
    </w:p>
    <w:p w:rsidR="00EC43E6" w:rsidRPr="00EC43E6" w:rsidRDefault="00EC43E6" w:rsidP="00EC43E6">
      <w:pPr>
        <w:shd w:val="clear" w:color="auto" w:fill="FFFFFF"/>
        <w:spacing w:after="40" w:line="240" w:lineRule="auto"/>
        <w:jc w:val="both"/>
        <w:rPr>
          <w:rFonts w:ascii="Arial" w:eastAsia="Times New Roman" w:hAnsi="Arial" w:cs="Arial"/>
          <w:color w:val="222222"/>
          <w:sz w:val="24"/>
          <w:szCs w:val="24"/>
          <w:lang w:eastAsia="it-IT"/>
        </w:rPr>
      </w:pPr>
      <w:r w:rsidRPr="00EC43E6">
        <w:rPr>
          <w:rFonts w:ascii="Arial" w:eastAsia="Times New Roman" w:hAnsi="Arial" w:cs="Arial"/>
          <w:color w:val="1D2129"/>
          <w:lang w:eastAsia="it-IT"/>
        </w:rPr>
        <w:t>Nettamente positivi i valori della tempestività dei pagamenti (meno di 1 giorno rispetto ai circa 10 giorni del 2022) del saldo bancario a fine anno (al 28 dicembre 2023 4.810.655,26 €) del debito residuo commerciale (al 28 dicembre 2023 restano da pagare solo 150.000 € per n. 17 fatture pervenute dal 20 al 28 dicembre 2023, del totale dei documenti di spesa dell’anno 2023 15.871.894,37 €).</w:t>
      </w:r>
    </w:p>
    <w:p w:rsidR="00EC43E6" w:rsidRPr="00EC43E6" w:rsidRDefault="00EC43E6" w:rsidP="00EC43E6">
      <w:pPr>
        <w:spacing w:after="0" w:line="240" w:lineRule="auto"/>
        <w:rPr>
          <w:rFonts w:ascii="Times New Roman" w:eastAsia="Times New Roman" w:hAnsi="Times New Roman" w:cs="Times New Roman"/>
          <w:sz w:val="24"/>
          <w:szCs w:val="24"/>
          <w:lang w:eastAsia="it-IT"/>
        </w:rPr>
      </w:pPr>
      <w:r w:rsidRPr="00EC43E6">
        <w:rPr>
          <w:rFonts w:ascii="Arial" w:eastAsia="Times New Roman" w:hAnsi="Arial" w:cs="Arial"/>
          <w:color w:val="222222"/>
          <w:sz w:val="24"/>
          <w:szCs w:val="24"/>
          <w:lang w:eastAsia="it-IT"/>
        </w:rPr>
        <w:br/>
      </w:r>
    </w:p>
    <w:p w:rsidR="00EC43E6" w:rsidRPr="00EC43E6" w:rsidRDefault="00EC43E6" w:rsidP="00EC43E6">
      <w:pPr>
        <w:shd w:val="clear" w:color="auto" w:fill="FFFFFF"/>
        <w:spacing w:after="40" w:line="240" w:lineRule="auto"/>
        <w:jc w:val="both"/>
        <w:rPr>
          <w:rFonts w:ascii="Arial" w:eastAsia="Times New Roman" w:hAnsi="Arial" w:cs="Arial"/>
          <w:color w:val="222222"/>
          <w:sz w:val="24"/>
          <w:szCs w:val="24"/>
          <w:lang w:eastAsia="it-IT"/>
        </w:rPr>
      </w:pPr>
      <w:r w:rsidRPr="00EC43E6">
        <w:rPr>
          <w:rFonts w:ascii="Arial" w:eastAsia="Times New Roman" w:hAnsi="Arial" w:cs="Arial"/>
          <w:color w:val="1D2129"/>
          <w:lang w:eastAsia="it-IT"/>
        </w:rPr>
        <w:t>Dopo quello dell’anno che volge al termine, all’inizio del 2024 si concretizzerà il nuovo Piano del Fabbisogno delle Risorse Umane durante il quale sono state previste 21 assunzioni, di cui 12 già formalizzate, 7 in corso di formalizzazione e 2 già programmate. Le nuove risorse sono state impiegate per i settori manutenzioni, polizia locale, digitalizzazione, SUAP, ufficio ragioneria, tributi e risorse umane. Nel 2024 ci sarà l’assunzione di 3 istruttori tecnici a seguito del concorso già indetto nel 2023.</w:t>
      </w:r>
    </w:p>
    <w:p w:rsidR="00EC43E6" w:rsidRPr="00EC43E6" w:rsidRDefault="00EC43E6" w:rsidP="00EC43E6">
      <w:pPr>
        <w:spacing w:after="0" w:line="240" w:lineRule="auto"/>
        <w:rPr>
          <w:rFonts w:ascii="Times New Roman" w:eastAsia="Times New Roman" w:hAnsi="Times New Roman" w:cs="Times New Roman"/>
          <w:sz w:val="24"/>
          <w:szCs w:val="24"/>
          <w:lang w:eastAsia="it-IT"/>
        </w:rPr>
      </w:pPr>
      <w:r w:rsidRPr="00EC43E6">
        <w:rPr>
          <w:rFonts w:ascii="Arial" w:eastAsia="Times New Roman" w:hAnsi="Arial" w:cs="Arial"/>
          <w:color w:val="222222"/>
          <w:sz w:val="24"/>
          <w:szCs w:val="24"/>
          <w:lang w:eastAsia="it-IT"/>
        </w:rPr>
        <w:br/>
      </w:r>
    </w:p>
    <w:p w:rsidR="00EC43E6" w:rsidRPr="00EC43E6" w:rsidRDefault="00EC43E6" w:rsidP="00EC43E6">
      <w:pPr>
        <w:shd w:val="clear" w:color="auto" w:fill="FFFFFF"/>
        <w:spacing w:after="40" w:line="240" w:lineRule="auto"/>
        <w:jc w:val="both"/>
        <w:rPr>
          <w:rFonts w:ascii="Arial" w:eastAsia="Times New Roman" w:hAnsi="Arial" w:cs="Arial"/>
          <w:color w:val="222222"/>
          <w:sz w:val="24"/>
          <w:szCs w:val="24"/>
          <w:lang w:eastAsia="it-IT"/>
        </w:rPr>
      </w:pPr>
      <w:r w:rsidRPr="00EC43E6">
        <w:rPr>
          <w:rFonts w:ascii="Arial" w:eastAsia="Times New Roman" w:hAnsi="Arial" w:cs="Arial"/>
          <w:color w:val="1D2129"/>
          <w:lang w:eastAsia="it-IT"/>
        </w:rPr>
        <w:t>&lt;&lt;</w:t>
      </w:r>
      <w:r w:rsidRPr="00EC43E6">
        <w:rPr>
          <w:rFonts w:ascii="Arial" w:eastAsia="Times New Roman" w:hAnsi="Arial" w:cs="Arial"/>
          <w:i/>
          <w:iCs/>
          <w:color w:val="1D2129"/>
          <w:lang w:eastAsia="it-IT"/>
        </w:rPr>
        <w:t>Questo risultato consente agli uffici amministrativi dell’Ente di mettere subito in pratica gli indirizzi politici e gli obiettivi predisposti nel Documento di Programmazione, che l’Amministrazione Comunale ha già approvato</w:t>
      </w:r>
      <w:r w:rsidRPr="00EC43E6">
        <w:rPr>
          <w:rFonts w:ascii="Arial" w:eastAsia="Times New Roman" w:hAnsi="Arial" w:cs="Arial"/>
          <w:color w:val="1D2129"/>
          <w:lang w:eastAsia="it-IT"/>
        </w:rPr>
        <w:t xml:space="preserve"> - dichiara l’Assessore al Bilancio Domenico Gigante - </w:t>
      </w:r>
      <w:r w:rsidRPr="00EC43E6">
        <w:rPr>
          <w:rFonts w:ascii="Arial" w:eastAsia="Times New Roman" w:hAnsi="Arial" w:cs="Arial"/>
          <w:i/>
          <w:iCs/>
          <w:color w:val="1D2129"/>
          <w:lang w:eastAsia="it-IT"/>
        </w:rPr>
        <w:t>i dati finanziari e l’equilibrio nei conti dimostrano l’efficienza del Comune di Ginosa e la concreta fattibilità delle azioni necessarie per il nostro territorio</w:t>
      </w:r>
      <w:r w:rsidRPr="00EC43E6">
        <w:rPr>
          <w:rFonts w:ascii="Arial" w:eastAsia="Times New Roman" w:hAnsi="Arial" w:cs="Arial"/>
          <w:color w:val="1D2129"/>
          <w:lang w:eastAsia="it-IT"/>
        </w:rPr>
        <w:t>&gt;&gt;. </w:t>
      </w:r>
    </w:p>
    <w:p w:rsidR="00FD7A23" w:rsidRDefault="00EC43E6" w:rsidP="00EC43E6">
      <w:r w:rsidRPr="00EC43E6">
        <w:rPr>
          <w:rFonts w:ascii="Arial" w:eastAsia="Times New Roman" w:hAnsi="Arial" w:cs="Arial"/>
          <w:color w:val="222222"/>
          <w:sz w:val="24"/>
          <w:szCs w:val="24"/>
          <w:lang w:eastAsia="it-IT"/>
        </w:rPr>
        <w:lastRenderedPageBreak/>
        <w:br/>
      </w:r>
      <w:r w:rsidRPr="00EC43E6">
        <w:rPr>
          <w:rFonts w:ascii="Arial" w:eastAsia="Times New Roman" w:hAnsi="Arial" w:cs="Arial"/>
          <w:color w:val="1D2129"/>
          <w:lang w:eastAsia="it-IT"/>
        </w:rPr>
        <w:t>&lt;&lt;</w:t>
      </w:r>
      <w:r w:rsidRPr="00EC43E6">
        <w:rPr>
          <w:rFonts w:ascii="Arial" w:eastAsia="Times New Roman" w:hAnsi="Arial" w:cs="Arial"/>
          <w:i/>
          <w:iCs/>
          <w:color w:val="1D2129"/>
          <w:lang w:eastAsia="it-IT"/>
        </w:rPr>
        <w:t>L’approvazione nell’anno corrente del Bilancio di Previsione per i prossimi anni, equivale a essere immediatamente operativi già dal primo giorno del 2024</w:t>
      </w:r>
      <w:r w:rsidRPr="00EC43E6">
        <w:rPr>
          <w:rFonts w:ascii="Arial" w:eastAsia="Times New Roman" w:hAnsi="Arial" w:cs="Arial"/>
          <w:color w:val="1D2129"/>
          <w:lang w:eastAsia="it-IT"/>
        </w:rPr>
        <w:t xml:space="preserve"> - aggiunge il sindaco Parisi - </w:t>
      </w:r>
      <w:r w:rsidRPr="00EC43E6">
        <w:rPr>
          <w:rFonts w:ascii="Arial" w:eastAsia="Times New Roman" w:hAnsi="Arial" w:cs="Arial"/>
          <w:i/>
          <w:iCs/>
          <w:color w:val="1D2129"/>
          <w:lang w:eastAsia="it-IT"/>
        </w:rPr>
        <w:t>c’è stata una forte volontà da parte dell’intera squadra amministrativa nel raggiungere questo obiettivo, che non ha soltanto un valore finanziario, ma anche storico per l’intero territorio. Tutto questo equivale a porre in essere azioni, investimenti e maggiori servizi in forma ancora più efficace. Ringrazio l’assessore al Bilancio Domenico Gigante, la Giunta, i Consiglieri e tutti gli uffici che hanno permesso ciò</w:t>
      </w:r>
      <w:r w:rsidRPr="00EC43E6">
        <w:rPr>
          <w:rFonts w:ascii="Arial" w:eastAsia="Times New Roman" w:hAnsi="Arial" w:cs="Arial"/>
          <w:color w:val="1D2129"/>
          <w:lang w:eastAsia="it-IT"/>
        </w:rPr>
        <w:t>&gt;&gt;.</w:t>
      </w:r>
    </w:p>
    <w:sectPr w:rsidR="00FD7A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E6"/>
    <w:rsid w:val="00EC43E6"/>
    <w:rsid w:val="00FD7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C43E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C43E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2024-01-09T10:56:00Z</dcterms:created>
  <dcterms:modified xsi:type="dcterms:W3CDTF">2024-01-09T10:57:00Z</dcterms:modified>
</cp:coreProperties>
</file>