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1CE" w:rsidRPr="001111CE" w:rsidRDefault="001111CE" w:rsidP="001111CE">
      <w:pPr>
        <w:spacing w:after="40" w:line="240" w:lineRule="auto"/>
        <w:jc w:val="center"/>
        <w:rPr>
          <w:rFonts w:ascii="Arial" w:eastAsia="Times New Roman" w:hAnsi="Arial" w:cs="Arial"/>
          <w:color w:val="222222"/>
          <w:sz w:val="24"/>
          <w:szCs w:val="24"/>
          <w:shd w:val="clear" w:color="auto" w:fill="FFFFFF"/>
          <w:lang w:eastAsia="it-IT"/>
        </w:rPr>
      </w:pPr>
      <w:r w:rsidRPr="001111CE">
        <w:rPr>
          <w:rFonts w:ascii="Arial" w:eastAsia="Times New Roman" w:hAnsi="Arial" w:cs="Arial"/>
          <w:b/>
          <w:bCs/>
          <w:color w:val="1D2129"/>
          <w:lang w:eastAsia="it-IT"/>
        </w:rPr>
        <w:t>BILANCIO 2022 IN EQUILIBRIO SEGUE IL RENDICONTO 2021 GIÀ APPROVATO: </w:t>
      </w:r>
    </w:p>
    <w:p w:rsidR="001111CE" w:rsidRPr="001111CE" w:rsidRDefault="001111CE" w:rsidP="001111CE">
      <w:pPr>
        <w:spacing w:after="40" w:line="240" w:lineRule="auto"/>
        <w:jc w:val="center"/>
        <w:rPr>
          <w:rFonts w:ascii="Arial" w:eastAsia="Times New Roman" w:hAnsi="Arial" w:cs="Arial"/>
          <w:color w:val="222222"/>
          <w:sz w:val="24"/>
          <w:szCs w:val="24"/>
          <w:shd w:val="clear" w:color="auto" w:fill="FFFFFF"/>
          <w:lang w:eastAsia="it-IT"/>
        </w:rPr>
      </w:pPr>
      <w:r w:rsidRPr="001111CE">
        <w:rPr>
          <w:rFonts w:ascii="Arial" w:eastAsia="Times New Roman" w:hAnsi="Arial" w:cs="Arial"/>
          <w:b/>
          <w:bCs/>
          <w:color w:val="1D2129"/>
          <w:lang w:eastAsia="it-IT"/>
        </w:rPr>
        <w:t>+ 3.541.407,60 € PER SPESE CORRENTI E RIMBORSO PRESTITI</w:t>
      </w:r>
    </w:p>
    <w:p w:rsidR="001111CE" w:rsidRPr="001111CE" w:rsidRDefault="001111CE" w:rsidP="001111CE">
      <w:pPr>
        <w:spacing w:after="40" w:line="240" w:lineRule="auto"/>
        <w:jc w:val="center"/>
        <w:rPr>
          <w:rFonts w:ascii="Arial" w:eastAsia="Times New Roman" w:hAnsi="Arial" w:cs="Arial"/>
          <w:color w:val="222222"/>
          <w:sz w:val="24"/>
          <w:szCs w:val="24"/>
          <w:shd w:val="clear" w:color="auto" w:fill="FFFFFF"/>
          <w:lang w:eastAsia="it-IT"/>
        </w:rPr>
      </w:pPr>
      <w:r w:rsidRPr="001111CE">
        <w:rPr>
          <w:rFonts w:ascii="Arial" w:eastAsia="Times New Roman" w:hAnsi="Arial" w:cs="Arial"/>
          <w:b/>
          <w:bCs/>
          <w:color w:val="1D2129"/>
          <w:lang w:eastAsia="it-IT"/>
        </w:rPr>
        <w:t>+ 1.087.438,54 € PER SPESE DI INVESTIMENTO</w:t>
      </w:r>
    </w:p>
    <w:p w:rsidR="001111CE" w:rsidRPr="001111CE" w:rsidRDefault="001111CE" w:rsidP="001111CE">
      <w:pPr>
        <w:spacing w:after="40" w:line="240" w:lineRule="auto"/>
        <w:jc w:val="center"/>
        <w:rPr>
          <w:rFonts w:ascii="Arial" w:eastAsia="Times New Roman" w:hAnsi="Arial" w:cs="Arial"/>
          <w:color w:val="222222"/>
          <w:sz w:val="24"/>
          <w:szCs w:val="24"/>
          <w:shd w:val="clear" w:color="auto" w:fill="FFFFFF"/>
          <w:lang w:eastAsia="it-IT"/>
        </w:rPr>
      </w:pPr>
      <w:r w:rsidRPr="001111CE">
        <w:rPr>
          <w:rFonts w:ascii="Arial" w:eastAsia="Times New Roman" w:hAnsi="Arial" w:cs="Arial"/>
          <w:b/>
          <w:bCs/>
          <w:color w:val="1D2129"/>
          <w:lang w:eastAsia="it-IT"/>
        </w:rPr>
        <w:t>ATTENDIBILITÀ, CONGRUITÀ ED EQUILIBRIO DEI CONTI 2022</w:t>
      </w:r>
    </w:p>
    <w:p w:rsidR="001111CE" w:rsidRPr="001111CE" w:rsidRDefault="001111CE" w:rsidP="001111CE">
      <w:pPr>
        <w:spacing w:after="0" w:line="240" w:lineRule="auto"/>
        <w:rPr>
          <w:rFonts w:ascii="Arial" w:eastAsia="Times New Roman" w:hAnsi="Arial" w:cs="Arial"/>
          <w:color w:val="222222"/>
          <w:sz w:val="24"/>
          <w:szCs w:val="24"/>
          <w:shd w:val="clear" w:color="auto" w:fill="FFFFFF"/>
          <w:lang w:eastAsia="it-IT"/>
        </w:rPr>
      </w:pPr>
    </w:p>
    <w:p w:rsidR="001111CE" w:rsidRPr="001111CE" w:rsidRDefault="001111CE" w:rsidP="001111CE">
      <w:pPr>
        <w:spacing w:after="40" w:line="240" w:lineRule="auto"/>
        <w:jc w:val="both"/>
        <w:rPr>
          <w:rFonts w:ascii="Arial" w:eastAsia="Times New Roman" w:hAnsi="Arial" w:cs="Arial"/>
          <w:color w:val="222222"/>
          <w:sz w:val="24"/>
          <w:szCs w:val="24"/>
          <w:shd w:val="clear" w:color="auto" w:fill="FFFFFF"/>
          <w:lang w:eastAsia="it-IT"/>
        </w:rPr>
      </w:pPr>
      <w:r w:rsidRPr="001111CE">
        <w:rPr>
          <w:rFonts w:ascii="Arial" w:eastAsia="Times New Roman" w:hAnsi="Arial" w:cs="Arial"/>
          <w:color w:val="1D2129"/>
          <w:lang w:eastAsia="it-IT"/>
        </w:rPr>
        <w:t>Conti stabilmente in positivo e bilanci approvati nei termini: con queste certezze l’Amministrazione consegna ai cittadini anche il Bilancio di Previsione 2022 dopo aver già consolidato i risultati molto positivi del Rendiconto 2021, valori utili a tenere costanti le tariffe dei servizi e i tributi comunali, nonostante l’emergenza energetica e l’inflazione in deciso aumento quest’anno.</w:t>
      </w:r>
    </w:p>
    <w:p w:rsidR="001111CE" w:rsidRPr="001111CE" w:rsidRDefault="001111CE" w:rsidP="001111CE">
      <w:pPr>
        <w:spacing w:after="0" w:line="240" w:lineRule="auto"/>
        <w:rPr>
          <w:rFonts w:ascii="Arial" w:eastAsia="Times New Roman" w:hAnsi="Arial" w:cs="Arial"/>
          <w:color w:val="222222"/>
          <w:sz w:val="24"/>
          <w:szCs w:val="24"/>
          <w:shd w:val="clear" w:color="auto" w:fill="FFFFFF"/>
          <w:lang w:eastAsia="it-IT"/>
        </w:rPr>
      </w:pPr>
    </w:p>
    <w:p w:rsidR="001111CE" w:rsidRPr="001111CE" w:rsidRDefault="001111CE" w:rsidP="001111CE">
      <w:pPr>
        <w:spacing w:before="40" w:after="40" w:line="240" w:lineRule="auto"/>
        <w:jc w:val="both"/>
        <w:rPr>
          <w:rFonts w:ascii="Arial" w:eastAsia="Times New Roman" w:hAnsi="Arial" w:cs="Arial"/>
          <w:color w:val="222222"/>
          <w:sz w:val="24"/>
          <w:szCs w:val="24"/>
          <w:shd w:val="clear" w:color="auto" w:fill="FFFFFF"/>
          <w:lang w:eastAsia="it-IT"/>
        </w:rPr>
      </w:pPr>
      <w:r w:rsidRPr="001111CE">
        <w:rPr>
          <w:rFonts w:ascii="Arial" w:eastAsia="Times New Roman" w:hAnsi="Arial" w:cs="Arial"/>
          <w:color w:val="1D2129"/>
          <w:lang w:eastAsia="it-IT"/>
        </w:rPr>
        <w:t xml:space="preserve">I numeri del Rendiconto, propedeutici quest’anno per il </w:t>
      </w:r>
      <w:r w:rsidRPr="001111CE">
        <w:rPr>
          <w:rFonts w:ascii="Arial" w:eastAsia="Times New Roman" w:hAnsi="Arial" w:cs="Arial"/>
          <w:b/>
          <w:bCs/>
          <w:color w:val="1D2129"/>
          <w:lang w:eastAsia="it-IT"/>
        </w:rPr>
        <w:t>Bilancio di Previsione 2022-2024</w:t>
      </w:r>
      <w:r w:rsidRPr="001111CE">
        <w:rPr>
          <w:rFonts w:ascii="Arial" w:eastAsia="Times New Roman" w:hAnsi="Arial" w:cs="Arial"/>
          <w:color w:val="1D2129"/>
          <w:lang w:eastAsia="it-IT"/>
        </w:rPr>
        <w:t xml:space="preserve"> approvato in Consiglio Comunale il 31 maggio 2022, consentono di confermare la sana gestione della liquidità e, allo stesso tempo, di non mettere le mani nelle tasche dei cittadini per coprire gli aumenti generalizzati in forte ascesa per la realizzazione degli obiettivi di mandato.</w:t>
      </w:r>
    </w:p>
    <w:p w:rsidR="001111CE" w:rsidRPr="001111CE" w:rsidRDefault="001111CE" w:rsidP="001111CE">
      <w:pPr>
        <w:spacing w:after="0" w:line="240" w:lineRule="auto"/>
        <w:rPr>
          <w:rFonts w:ascii="Arial" w:eastAsia="Times New Roman" w:hAnsi="Arial" w:cs="Arial"/>
          <w:color w:val="222222"/>
          <w:sz w:val="24"/>
          <w:szCs w:val="24"/>
          <w:shd w:val="clear" w:color="auto" w:fill="FFFFFF"/>
          <w:lang w:eastAsia="it-IT"/>
        </w:rPr>
      </w:pPr>
    </w:p>
    <w:p w:rsidR="001111CE" w:rsidRPr="001111CE" w:rsidRDefault="001111CE" w:rsidP="001111CE">
      <w:pPr>
        <w:spacing w:before="40" w:after="40" w:line="240" w:lineRule="auto"/>
        <w:jc w:val="both"/>
        <w:rPr>
          <w:rFonts w:ascii="Arial" w:eastAsia="Times New Roman" w:hAnsi="Arial" w:cs="Arial"/>
          <w:color w:val="222222"/>
          <w:sz w:val="24"/>
          <w:szCs w:val="24"/>
          <w:shd w:val="clear" w:color="auto" w:fill="FFFFFF"/>
          <w:lang w:eastAsia="it-IT"/>
        </w:rPr>
      </w:pPr>
      <w:r w:rsidRPr="001111CE">
        <w:rPr>
          <w:rFonts w:ascii="Arial" w:eastAsia="Times New Roman" w:hAnsi="Arial" w:cs="Arial"/>
          <w:color w:val="1D2129"/>
          <w:lang w:eastAsia="it-IT"/>
        </w:rPr>
        <w:t xml:space="preserve">Più risorse per servizi e investimenti grazie all’applicazione dell’avanzo di amministrazione del 2021: </w:t>
      </w:r>
      <w:r w:rsidRPr="001111CE">
        <w:rPr>
          <w:rFonts w:ascii="Arial" w:eastAsia="Times New Roman" w:hAnsi="Arial" w:cs="Arial"/>
          <w:b/>
          <w:bCs/>
          <w:color w:val="1D2129"/>
          <w:lang w:eastAsia="it-IT"/>
        </w:rPr>
        <w:t>+ 3.541.407 €</w:t>
      </w:r>
      <w:r w:rsidRPr="001111CE">
        <w:rPr>
          <w:rFonts w:ascii="Arial" w:eastAsia="Times New Roman" w:hAnsi="Arial" w:cs="Arial"/>
          <w:color w:val="1D2129"/>
          <w:lang w:eastAsia="it-IT"/>
        </w:rPr>
        <w:t xml:space="preserve"> per spese correnti e </w:t>
      </w:r>
      <w:r w:rsidRPr="001111CE">
        <w:rPr>
          <w:rFonts w:ascii="Arial" w:eastAsia="Times New Roman" w:hAnsi="Arial" w:cs="Arial"/>
          <w:b/>
          <w:bCs/>
          <w:color w:val="1D2129"/>
          <w:lang w:eastAsia="it-IT"/>
        </w:rPr>
        <w:t>+ 1.087.438 €</w:t>
      </w:r>
      <w:r w:rsidRPr="001111CE">
        <w:rPr>
          <w:rFonts w:ascii="Arial" w:eastAsia="Times New Roman" w:hAnsi="Arial" w:cs="Arial"/>
          <w:color w:val="1D2129"/>
          <w:lang w:eastAsia="it-IT"/>
        </w:rPr>
        <w:t xml:space="preserve"> per spese di investimento.</w:t>
      </w:r>
    </w:p>
    <w:p w:rsidR="001111CE" w:rsidRPr="001111CE" w:rsidRDefault="001111CE" w:rsidP="001111CE">
      <w:pPr>
        <w:spacing w:before="40" w:after="40" w:line="240" w:lineRule="auto"/>
        <w:jc w:val="both"/>
        <w:rPr>
          <w:rFonts w:ascii="Arial" w:eastAsia="Times New Roman" w:hAnsi="Arial" w:cs="Arial"/>
          <w:color w:val="222222"/>
          <w:sz w:val="24"/>
          <w:szCs w:val="24"/>
          <w:shd w:val="clear" w:color="auto" w:fill="FFFFFF"/>
          <w:lang w:eastAsia="it-IT"/>
        </w:rPr>
      </w:pPr>
      <w:r w:rsidRPr="001111CE">
        <w:rPr>
          <w:rFonts w:ascii="Arial" w:eastAsia="Times New Roman" w:hAnsi="Arial" w:cs="Arial"/>
          <w:color w:val="1D2129"/>
          <w:lang w:eastAsia="it-IT"/>
        </w:rPr>
        <w:t>Ecco gli stanziamenti suddivisi per missione:</w:t>
      </w:r>
    </w:p>
    <w:p w:rsidR="001111CE" w:rsidRPr="001111CE" w:rsidRDefault="001111CE" w:rsidP="001111CE">
      <w:pPr>
        <w:numPr>
          <w:ilvl w:val="0"/>
          <w:numId w:val="1"/>
        </w:numPr>
        <w:spacing w:before="40" w:after="0" w:line="240" w:lineRule="auto"/>
        <w:ind w:left="945"/>
        <w:jc w:val="both"/>
        <w:textAlignment w:val="baseline"/>
        <w:rPr>
          <w:rFonts w:ascii="Arial" w:eastAsia="Times New Roman" w:hAnsi="Arial" w:cs="Arial"/>
          <w:color w:val="1D2129"/>
          <w:shd w:val="clear" w:color="auto" w:fill="FFFFFF"/>
          <w:lang w:eastAsia="it-IT"/>
        </w:rPr>
      </w:pPr>
      <w:r w:rsidRPr="001111CE">
        <w:rPr>
          <w:rFonts w:ascii="Arial" w:eastAsia="Times New Roman" w:hAnsi="Arial" w:cs="Arial"/>
          <w:color w:val="1D2129"/>
          <w:lang w:eastAsia="it-IT"/>
        </w:rPr>
        <w:t>Ordine Pubblico e Sicurezza: 922.210 € (+ 48.898 € rispetto al 2021);</w:t>
      </w:r>
    </w:p>
    <w:p w:rsidR="001111CE" w:rsidRPr="001111CE" w:rsidRDefault="001111CE" w:rsidP="001111CE">
      <w:pPr>
        <w:numPr>
          <w:ilvl w:val="0"/>
          <w:numId w:val="1"/>
        </w:numPr>
        <w:spacing w:after="0" w:line="240" w:lineRule="auto"/>
        <w:ind w:left="945"/>
        <w:jc w:val="both"/>
        <w:textAlignment w:val="baseline"/>
        <w:rPr>
          <w:rFonts w:ascii="Arial" w:eastAsia="Times New Roman" w:hAnsi="Arial" w:cs="Arial"/>
          <w:color w:val="1D2129"/>
          <w:shd w:val="clear" w:color="auto" w:fill="FFFFFF"/>
          <w:lang w:eastAsia="it-IT"/>
        </w:rPr>
      </w:pPr>
      <w:r w:rsidRPr="001111CE">
        <w:rPr>
          <w:rFonts w:ascii="Arial" w:eastAsia="Times New Roman" w:hAnsi="Arial" w:cs="Arial"/>
          <w:color w:val="1D2129"/>
          <w:lang w:eastAsia="it-IT"/>
        </w:rPr>
        <w:t>Istruzione e Diritto allo Studio: 1.401.705 € (+ 74.604 € rispetto al 2021);</w:t>
      </w:r>
    </w:p>
    <w:p w:rsidR="001111CE" w:rsidRPr="001111CE" w:rsidRDefault="001111CE" w:rsidP="001111CE">
      <w:pPr>
        <w:numPr>
          <w:ilvl w:val="0"/>
          <w:numId w:val="1"/>
        </w:numPr>
        <w:spacing w:after="0" w:line="240" w:lineRule="auto"/>
        <w:ind w:left="945"/>
        <w:jc w:val="both"/>
        <w:textAlignment w:val="baseline"/>
        <w:rPr>
          <w:rFonts w:ascii="Arial" w:eastAsia="Times New Roman" w:hAnsi="Arial" w:cs="Arial"/>
          <w:color w:val="1D2129"/>
          <w:shd w:val="clear" w:color="auto" w:fill="FFFFFF"/>
          <w:lang w:eastAsia="it-IT"/>
        </w:rPr>
      </w:pPr>
      <w:r w:rsidRPr="001111CE">
        <w:rPr>
          <w:rFonts w:ascii="Arial" w:eastAsia="Times New Roman" w:hAnsi="Arial" w:cs="Arial"/>
          <w:color w:val="1D2129"/>
          <w:lang w:eastAsia="it-IT"/>
        </w:rPr>
        <w:t>Politiche Giovanili, Sport e Tempo Libero: 367.850 € (+ 183.613 € rispetto al 2021);</w:t>
      </w:r>
    </w:p>
    <w:p w:rsidR="001111CE" w:rsidRPr="001111CE" w:rsidRDefault="001111CE" w:rsidP="001111CE">
      <w:pPr>
        <w:numPr>
          <w:ilvl w:val="0"/>
          <w:numId w:val="1"/>
        </w:numPr>
        <w:spacing w:after="0" w:line="240" w:lineRule="auto"/>
        <w:ind w:left="945"/>
        <w:jc w:val="both"/>
        <w:textAlignment w:val="baseline"/>
        <w:rPr>
          <w:rFonts w:ascii="Arial" w:eastAsia="Times New Roman" w:hAnsi="Arial" w:cs="Arial"/>
          <w:color w:val="1D2129"/>
          <w:shd w:val="clear" w:color="auto" w:fill="FFFFFF"/>
          <w:lang w:eastAsia="it-IT"/>
        </w:rPr>
      </w:pPr>
      <w:r w:rsidRPr="001111CE">
        <w:rPr>
          <w:rFonts w:ascii="Arial" w:eastAsia="Times New Roman" w:hAnsi="Arial" w:cs="Arial"/>
          <w:color w:val="1D2129"/>
          <w:lang w:eastAsia="it-IT"/>
        </w:rPr>
        <w:t>Trasporti e Mobilità: 2.134.699 € (+ 1.003.073 rispetto al 2021);</w:t>
      </w:r>
    </w:p>
    <w:p w:rsidR="001111CE" w:rsidRPr="001111CE" w:rsidRDefault="001111CE" w:rsidP="001111CE">
      <w:pPr>
        <w:numPr>
          <w:ilvl w:val="0"/>
          <w:numId w:val="1"/>
        </w:numPr>
        <w:spacing w:after="0" w:line="240" w:lineRule="auto"/>
        <w:ind w:left="945"/>
        <w:jc w:val="both"/>
        <w:textAlignment w:val="baseline"/>
        <w:rPr>
          <w:rFonts w:ascii="Arial" w:eastAsia="Times New Roman" w:hAnsi="Arial" w:cs="Arial"/>
          <w:color w:val="1D2129"/>
          <w:shd w:val="clear" w:color="auto" w:fill="FFFFFF"/>
          <w:lang w:eastAsia="it-IT"/>
        </w:rPr>
      </w:pPr>
      <w:r w:rsidRPr="001111CE">
        <w:rPr>
          <w:rFonts w:ascii="Arial" w:eastAsia="Times New Roman" w:hAnsi="Arial" w:cs="Arial"/>
          <w:color w:val="1D2129"/>
          <w:lang w:eastAsia="it-IT"/>
        </w:rPr>
        <w:t>Turismo: 238.000 € (+ 167.000 € rispetto al 2021);</w:t>
      </w:r>
    </w:p>
    <w:p w:rsidR="001111CE" w:rsidRPr="001111CE" w:rsidRDefault="001111CE" w:rsidP="001111CE">
      <w:pPr>
        <w:numPr>
          <w:ilvl w:val="0"/>
          <w:numId w:val="1"/>
        </w:numPr>
        <w:spacing w:after="40" w:line="240" w:lineRule="auto"/>
        <w:ind w:left="945"/>
        <w:jc w:val="both"/>
        <w:textAlignment w:val="baseline"/>
        <w:rPr>
          <w:rFonts w:ascii="Arial" w:eastAsia="Times New Roman" w:hAnsi="Arial" w:cs="Arial"/>
          <w:color w:val="1D2129"/>
          <w:shd w:val="clear" w:color="auto" w:fill="FFFFFF"/>
          <w:lang w:eastAsia="it-IT"/>
        </w:rPr>
      </w:pPr>
      <w:r w:rsidRPr="001111CE">
        <w:rPr>
          <w:rFonts w:ascii="Arial" w:eastAsia="Times New Roman" w:hAnsi="Arial" w:cs="Arial"/>
          <w:color w:val="1D2129"/>
          <w:lang w:eastAsia="it-IT"/>
        </w:rPr>
        <w:t>Sviluppo Economico e Competitività: 285.520 € (+ 240.000 € rispetto al 2021).</w:t>
      </w:r>
    </w:p>
    <w:p w:rsidR="001111CE" w:rsidRPr="001111CE" w:rsidRDefault="001111CE" w:rsidP="001111CE">
      <w:pPr>
        <w:spacing w:after="0" w:line="240" w:lineRule="auto"/>
        <w:rPr>
          <w:rFonts w:ascii="Arial" w:eastAsia="Times New Roman" w:hAnsi="Arial" w:cs="Arial"/>
          <w:color w:val="222222"/>
          <w:sz w:val="24"/>
          <w:szCs w:val="24"/>
          <w:shd w:val="clear" w:color="auto" w:fill="FFFFFF"/>
          <w:lang w:eastAsia="it-IT"/>
        </w:rPr>
      </w:pPr>
    </w:p>
    <w:p w:rsidR="001111CE" w:rsidRPr="001111CE" w:rsidRDefault="001111CE" w:rsidP="001111CE">
      <w:pPr>
        <w:spacing w:before="40" w:after="40" w:line="240" w:lineRule="auto"/>
        <w:jc w:val="both"/>
        <w:rPr>
          <w:rFonts w:ascii="Arial" w:eastAsia="Times New Roman" w:hAnsi="Arial" w:cs="Arial"/>
          <w:color w:val="222222"/>
          <w:sz w:val="24"/>
          <w:szCs w:val="24"/>
          <w:shd w:val="clear" w:color="auto" w:fill="FFFFFF"/>
          <w:lang w:eastAsia="it-IT"/>
        </w:rPr>
      </w:pPr>
      <w:r w:rsidRPr="001111CE">
        <w:rPr>
          <w:rFonts w:ascii="Arial" w:eastAsia="Times New Roman" w:hAnsi="Arial" w:cs="Arial"/>
          <w:color w:val="1D2129"/>
          <w:lang w:eastAsia="it-IT"/>
        </w:rPr>
        <w:t>&lt;&lt;</w:t>
      </w:r>
      <w:r w:rsidRPr="001111CE">
        <w:rPr>
          <w:rFonts w:ascii="Arial" w:eastAsia="Times New Roman" w:hAnsi="Arial" w:cs="Arial"/>
          <w:i/>
          <w:iCs/>
          <w:color w:val="1D2129"/>
          <w:lang w:eastAsia="it-IT"/>
        </w:rPr>
        <w:t>Fondare le azioni su un Bilancio sano con un’ottima programmazione è tra i nostri primi obiettivi del nuovo mandato</w:t>
      </w:r>
      <w:r w:rsidRPr="001111CE">
        <w:rPr>
          <w:rFonts w:ascii="Arial" w:eastAsia="Times New Roman" w:hAnsi="Arial" w:cs="Arial"/>
          <w:color w:val="1D2129"/>
          <w:lang w:eastAsia="it-IT"/>
        </w:rPr>
        <w:t xml:space="preserve"> - spiega il Sindaco </w:t>
      </w:r>
      <w:r w:rsidRPr="001111CE">
        <w:rPr>
          <w:rFonts w:ascii="Arial" w:eastAsia="Times New Roman" w:hAnsi="Arial" w:cs="Arial"/>
          <w:b/>
          <w:bCs/>
          <w:color w:val="1D2129"/>
          <w:lang w:eastAsia="it-IT"/>
        </w:rPr>
        <w:t>Vito Parisi</w:t>
      </w:r>
      <w:r w:rsidRPr="001111CE">
        <w:rPr>
          <w:rFonts w:ascii="Arial" w:eastAsia="Times New Roman" w:hAnsi="Arial" w:cs="Arial"/>
          <w:color w:val="1D2129"/>
          <w:lang w:eastAsia="it-IT"/>
        </w:rPr>
        <w:t xml:space="preserve"> - </w:t>
      </w:r>
      <w:r w:rsidRPr="001111CE">
        <w:rPr>
          <w:rFonts w:ascii="Arial" w:eastAsia="Times New Roman" w:hAnsi="Arial" w:cs="Arial"/>
          <w:i/>
          <w:iCs/>
          <w:color w:val="1D2129"/>
          <w:lang w:eastAsia="it-IT"/>
        </w:rPr>
        <w:t>si tratta sempre di previsioni, ma come ogni anno queste cifre sono destinate a crescere grazie a tutte le azioni che stiamo già mettendo in campo in ciascun settore. </w:t>
      </w:r>
    </w:p>
    <w:p w:rsidR="001111CE" w:rsidRPr="001111CE" w:rsidRDefault="001111CE" w:rsidP="001111CE">
      <w:pPr>
        <w:spacing w:before="40" w:after="40" w:line="240" w:lineRule="auto"/>
        <w:jc w:val="both"/>
        <w:rPr>
          <w:rFonts w:ascii="Arial" w:eastAsia="Times New Roman" w:hAnsi="Arial" w:cs="Arial"/>
          <w:color w:val="222222"/>
          <w:sz w:val="24"/>
          <w:szCs w:val="24"/>
          <w:shd w:val="clear" w:color="auto" w:fill="FFFFFF"/>
          <w:lang w:eastAsia="it-IT"/>
        </w:rPr>
      </w:pPr>
      <w:r w:rsidRPr="001111CE">
        <w:rPr>
          <w:rFonts w:ascii="Arial" w:eastAsia="Times New Roman" w:hAnsi="Arial" w:cs="Arial"/>
          <w:i/>
          <w:iCs/>
          <w:color w:val="1D2129"/>
          <w:lang w:eastAsia="it-IT"/>
        </w:rPr>
        <w:br/>
      </w:r>
    </w:p>
    <w:p w:rsidR="001111CE" w:rsidRPr="001111CE" w:rsidRDefault="001111CE" w:rsidP="001111CE">
      <w:pPr>
        <w:spacing w:before="40" w:after="40" w:line="240" w:lineRule="auto"/>
        <w:jc w:val="both"/>
        <w:rPr>
          <w:rFonts w:ascii="Arial" w:eastAsia="Times New Roman" w:hAnsi="Arial" w:cs="Arial"/>
          <w:color w:val="222222"/>
          <w:sz w:val="24"/>
          <w:szCs w:val="24"/>
          <w:shd w:val="clear" w:color="auto" w:fill="FFFFFF"/>
          <w:lang w:eastAsia="it-IT"/>
        </w:rPr>
      </w:pPr>
      <w:r w:rsidRPr="001111CE">
        <w:rPr>
          <w:rFonts w:ascii="Arial" w:eastAsia="Times New Roman" w:hAnsi="Arial" w:cs="Arial"/>
          <w:i/>
          <w:iCs/>
          <w:color w:val="1D2129"/>
          <w:lang w:eastAsia="it-IT"/>
        </w:rPr>
        <w:t xml:space="preserve">Grazie al lavoro svolto con la squadra amministrativa e con gli uffici, vogliamo raggiungere risultati importanti per il territorio e migliorare la qualità della vita delle persone. Ciò, anche grazie all’efficientamento dell’organizzazione, alla revisione delle aree degli uffici con potenziamento e valorizzazione del personale e alla conferma di numerose agevolazioni IMU e TARI. </w:t>
      </w:r>
    </w:p>
    <w:p w:rsidR="001111CE" w:rsidRPr="001111CE" w:rsidRDefault="001111CE" w:rsidP="001111CE">
      <w:pPr>
        <w:spacing w:before="40" w:after="40" w:line="240" w:lineRule="auto"/>
        <w:jc w:val="both"/>
        <w:rPr>
          <w:rFonts w:ascii="Arial" w:eastAsia="Times New Roman" w:hAnsi="Arial" w:cs="Arial"/>
          <w:color w:val="222222"/>
          <w:sz w:val="24"/>
          <w:szCs w:val="24"/>
          <w:shd w:val="clear" w:color="auto" w:fill="FFFFFF"/>
          <w:lang w:eastAsia="it-IT"/>
        </w:rPr>
      </w:pPr>
      <w:r w:rsidRPr="001111CE">
        <w:rPr>
          <w:rFonts w:ascii="Arial" w:eastAsia="Times New Roman" w:hAnsi="Arial" w:cs="Arial"/>
          <w:i/>
          <w:iCs/>
          <w:color w:val="1D2129"/>
          <w:lang w:eastAsia="it-IT"/>
        </w:rPr>
        <w:br/>
      </w:r>
    </w:p>
    <w:p w:rsidR="001111CE" w:rsidRPr="001111CE" w:rsidRDefault="001111CE" w:rsidP="001111CE">
      <w:pPr>
        <w:spacing w:before="40" w:after="40" w:line="240" w:lineRule="auto"/>
        <w:jc w:val="both"/>
        <w:rPr>
          <w:rFonts w:ascii="Arial" w:eastAsia="Times New Roman" w:hAnsi="Arial" w:cs="Arial"/>
          <w:color w:val="222222"/>
          <w:sz w:val="24"/>
          <w:szCs w:val="24"/>
          <w:shd w:val="clear" w:color="auto" w:fill="FFFFFF"/>
          <w:lang w:eastAsia="it-IT"/>
        </w:rPr>
      </w:pPr>
      <w:r w:rsidRPr="001111CE">
        <w:rPr>
          <w:rFonts w:ascii="Arial" w:eastAsia="Times New Roman" w:hAnsi="Arial" w:cs="Arial"/>
          <w:i/>
          <w:iCs/>
          <w:color w:val="1D2129"/>
          <w:lang w:eastAsia="it-IT"/>
        </w:rPr>
        <w:t>Erogazione di servizi di qualità ai cittadini, nuove opere e la rimodulazione e gestione della pressione fiscale: stiamo equilibrando tutti i fattori&gt;&gt;.</w:t>
      </w:r>
    </w:p>
    <w:p w:rsidR="001111CE" w:rsidRPr="001111CE" w:rsidRDefault="001111CE" w:rsidP="001111CE">
      <w:pPr>
        <w:spacing w:after="0" w:line="240" w:lineRule="auto"/>
        <w:rPr>
          <w:rFonts w:ascii="Arial" w:eastAsia="Times New Roman" w:hAnsi="Arial" w:cs="Arial"/>
          <w:color w:val="222222"/>
          <w:sz w:val="24"/>
          <w:szCs w:val="24"/>
          <w:shd w:val="clear" w:color="auto" w:fill="FFFFFF"/>
          <w:lang w:eastAsia="it-IT"/>
        </w:rPr>
      </w:pPr>
    </w:p>
    <w:p w:rsidR="001111CE" w:rsidRPr="001111CE" w:rsidRDefault="001111CE" w:rsidP="001111CE">
      <w:pPr>
        <w:spacing w:before="40" w:after="40" w:line="240" w:lineRule="auto"/>
        <w:jc w:val="both"/>
        <w:rPr>
          <w:rFonts w:ascii="Arial" w:eastAsia="Times New Roman" w:hAnsi="Arial" w:cs="Arial"/>
          <w:color w:val="222222"/>
          <w:sz w:val="24"/>
          <w:szCs w:val="24"/>
          <w:shd w:val="clear" w:color="auto" w:fill="FFFFFF"/>
          <w:lang w:eastAsia="it-IT"/>
        </w:rPr>
      </w:pPr>
      <w:r w:rsidRPr="001111CE">
        <w:rPr>
          <w:rFonts w:ascii="Arial" w:eastAsia="Times New Roman" w:hAnsi="Arial" w:cs="Arial"/>
          <w:color w:val="1D2129"/>
          <w:lang w:eastAsia="it-IT"/>
        </w:rPr>
        <w:t>&lt;&lt;</w:t>
      </w:r>
      <w:r w:rsidRPr="001111CE">
        <w:rPr>
          <w:rFonts w:ascii="Arial" w:eastAsia="Times New Roman" w:hAnsi="Arial" w:cs="Arial"/>
          <w:i/>
          <w:iCs/>
          <w:color w:val="1D2129"/>
          <w:lang w:eastAsia="it-IT"/>
        </w:rPr>
        <w:t>È sufficiente scorrere gli aspetti per i quali abbiamo portato massima attenzione</w:t>
      </w:r>
      <w:r w:rsidRPr="001111CE">
        <w:rPr>
          <w:rFonts w:ascii="Arial" w:eastAsia="Times New Roman" w:hAnsi="Arial" w:cs="Arial"/>
          <w:color w:val="1D2129"/>
          <w:lang w:eastAsia="it-IT"/>
        </w:rPr>
        <w:t xml:space="preserve"> </w:t>
      </w:r>
      <w:r w:rsidRPr="001111CE">
        <w:rPr>
          <w:rFonts w:ascii="Arial" w:eastAsia="Times New Roman" w:hAnsi="Arial" w:cs="Arial"/>
          <w:i/>
          <w:iCs/>
          <w:color w:val="1D2129"/>
          <w:lang w:eastAsia="it-IT"/>
        </w:rPr>
        <w:t xml:space="preserve">per riscontrare i miglioramenti costanti di questi anni e comprendere agevolmente che l’Ente ha un miglior Avanzo di Amministrazione, minor debiti fuori bilancio, minor indebitamento e tensione finanziaria, minori poste vincolate per copertura di crediti, maggiore tempestività nei pagamenti delle fatture, maggiore liquidità in cassa e migliore organizzazione </w:t>
      </w:r>
      <w:r w:rsidRPr="001111CE">
        <w:rPr>
          <w:rFonts w:ascii="Arial" w:eastAsia="Times New Roman" w:hAnsi="Arial" w:cs="Arial"/>
          <w:color w:val="1D2129"/>
          <w:lang w:eastAsia="it-IT"/>
        </w:rPr>
        <w:t xml:space="preserve">- aggiunge il Consigliere con delega al Bilancio </w:t>
      </w:r>
      <w:r w:rsidRPr="001111CE">
        <w:rPr>
          <w:rFonts w:ascii="Arial" w:eastAsia="Times New Roman" w:hAnsi="Arial" w:cs="Arial"/>
          <w:b/>
          <w:bCs/>
          <w:color w:val="1D2129"/>
          <w:lang w:eastAsia="it-IT"/>
        </w:rPr>
        <w:t>Domenico Gigante</w:t>
      </w:r>
      <w:r w:rsidRPr="001111CE">
        <w:rPr>
          <w:rFonts w:ascii="Arial" w:eastAsia="Times New Roman" w:hAnsi="Arial" w:cs="Arial"/>
          <w:color w:val="1D2129"/>
          <w:lang w:eastAsia="it-IT"/>
        </w:rPr>
        <w:t xml:space="preserve"> -</w:t>
      </w:r>
      <w:r w:rsidRPr="001111CE">
        <w:rPr>
          <w:rFonts w:ascii="Arial" w:eastAsia="Times New Roman" w:hAnsi="Arial" w:cs="Arial"/>
          <w:i/>
          <w:iCs/>
          <w:color w:val="1D2129"/>
          <w:lang w:eastAsia="it-IT"/>
        </w:rPr>
        <w:t xml:space="preserve"> anche per il prossimo triennio</w:t>
      </w:r>
      <w:r w:rsidRPr="001111CE">
        <w:rPr>
          <w:rFonts w:ascii="Arial" w:eastAsia="Times New Roman" w:hAnsi="Arial" w:cs="Arial"/>
          <w:color w:val="1D2129"/>
          <w:lang w:eastAsia="it-IT"/>
        </w:rPr>
        <w:t xml:space="preserve"> </w:t>
      </w:r>
      <w:r w:rsidRPr="001111CE">
        <w:rPr>
          <w:rFonts w:ascii="Arial" w:eastAsia="Times New Roman" w:hAnsi="Arial" w:cs="Arial"/>
          <w:i/>
          <w:iCs/>
          <w:color w:val="1D2129"/>
          <w:lang w:eastAsia="it-IT"/>
        </w:rPr>
        <w:t>abbiamo stanziato con il Bilancio 2022-2024 numerose risorse per investimenti, strade, scuole, servizi sociali, turismo, centro storico e attività produttive locali, il tutto senza alzare di un euro le tariffe ed i tributi comunali, confermando le agevolazioni ed i ticket mensa e trasporto scolastico, nonostante l’aumento dei costi del servizio facilmente immaginabili. </w:t>
      </w:r>
    </w:p>
    <w:p w:rsidR="001111CE" w:rsidRPr="001111CE" w:rsidRDefault="001111CE" w:rsidP="001111CE">
      <w:pPr>
        <w:spacing w:after="0" w:line="240" w:lineRule="auto"/>
        <w:rPr>
          <w:rFonts w:ascii="Arial" w:eastAsia="Times New Roman" w:hAnsi="Arial" w:cs="Arial"/>
          <w:color w:val="222222"/>
          <w:sz w:val="24"/>
          <w:szCs w:val="24"/>
          <w:shd w:val="clear" w:color="auto" w:fill="FFFFFF"/>
          <w:lang w:eastAsia="it-IT"/>
        </w:rPr>
      </w:pPr>
    </w:p>
    <w:p w:rsidR="001111CE" w:rsidRPr="001111CE" w:rsidRDefault="001111CE" w:rsidP="001111CE">
      <w:pPr>
        <w:spacing w:before="40" w:after="40" w:line="240" w:lineRule="auto"/>
        <w:jc w:val="both"/>
        <w:rPr>
          <w:rFonts w:ascii="Arial" w:eastAsia="Times New Roman" w:hAnsi="Arial" w:cs="Arial"/>
          <w:color w:val="222222"/>
          <w:sz w:val="24"/>
          <w:szCs w:val="24"/>
          <w:shd w:val="clear" w:color="auto" w:fill="FFFFFF"/>
          <w:lang w:eastAsia="it-IT"/>
        </w:rPr>
      </w:pPr>
      <w:r w:rsidRPr="001111CE">
        <w:rPr>
          <w:rFonts w:ascii="Arial" w:eastAsia="Times New Roman" w:hAnsi="Arial" w:cs="Arial"/>
          <w:i/>
          <w:iCs/>
          <w:color w:val="1D2129"/>
          <w:lang w:eastAsia="it-IT"/>
        </w:rPr>
        <w:lastRenderedPageBreak/>
        <w:t>Proseguiremo con questo approccio positivo e professionale anche negli anni seguenti, in cui dovremo porre l’attenzione massima anche su digitalizzazione e organizzazione degli uffici, con un approccio più flessibile agli obiettivi dell’anno. </w:t>
      </w:r>
    </w:p>
    <w:p w:rsidR="001111CE" w:rsidRPr="001111CE" w:rsidRDefault="001111CE" w:rsidP="001111CE">
      <w:pPr>
        <w:spacing w:before="40" w:after="40" w:line="240" w:lineRule="auto"/>
        <w:jc w:val="both"/>
        <w:rPr>
          <w:rFonts w:ascii="Arial" w:eastAsia="Times New Roman" w:hAnsi="Arial" w:cs="Arial"/>
          <w:color w:val="222222"/>
          <w:sz w:val="24"/>
          <w:szCs w:val="24"/>
          <w:shd w:val="clear" w:color="auto" w:fill="FFFFFF"/>
          <w:lang w:eastAsia="it-IT"/>
        </w:rPr>
      </w:pPr>
      <w:r w:rsidRPr="001111CE">
        <w:rPr>
          <w:rFonts w:ascii="Arial" w:eastAsia="Times New Roman" w:hAnsi="Arial" w:cs="Arial"/>
          <w:i/>
          <w:iCs/>
          <w:color w:val="1D2129"/>
          <w:lang w:eastAsia="it-IT"/>
        </w:rPr>
        <w:br/>
      </w:r>
    </w:p>
    <w:p w:rsidR="001111CE" w:rsidRPr="001111CE" w:rsidRDefault="001111CE" w:rsidP="001111CE">
      <w:pPr>
        <w:spacing w:before="40" w:after="40" w:line="240" w:lineRule="auto"/>
        <w:jc w:val="both"/>
        <w:rPr>
          <w:rFonts w:ascii="Arial" w:eastAsia="Times New Roman" w:hAnsi="Arial" w:cs="Arial"/>
          <w:color w:val="222222"/>
          <w:sz w:val="24"/>
          <w:szCs w:val="24"/>
          <w:shd w:val="clear" w:color="auto" w:fill="FFFFFF"/>
          <w:lang w:eastAsia="it-IT"/>
        </w:rPr>
      </w:pPr>
      <w:r w:rsidRPr="001111CE">
        <w:rPr>
          <w:rFonts w:ascii="Arial" w:eastAsia="Times New Roman" w:hAnsi="Arial" w:cs="Arial"/>
          <w:i/>
          <w:iCs/>
          <w:color w:val="1D2129"/>
          <w:lang w:eastAsia="it-IT"/>
        </w:rPr>
        <w:t>L’obiettivo sarà di confermare ancora le aliquote per poi riuscire a ridurle gradualmente nel triennio, finanziando la riduzione con il recupero dei crediti pregressi e azioni di incentivazione del rientro. Ciò sbloccherà definitivamente le poste vincolate in bilancio per gli ingenti crediti, tutto a vantaggio di maggior manutenzioni e nuove opere pubbliche e investimento in cultura e sport, turismo, politiche giovanili e tempo libero.</w:t>
      </w:r>
    </w:p>
    <w:p w:rsidR="001111CE" w:rsidRPr="001111CE" w:rsidRDefault="001111CE" w:rsidP="001111CE">
      <w:pPr>
        <w:spacing w:before="40" w:after="40" w:line="240" w:lineRule="auto"/>
        <w:jc w:val="both"/>
        <w:rPr>
          <w:rFonts w:ascii="Arial" w:eastAsia="Times New Roman" w:hAnsi="Arial" w:cs="Arial"/>
          <w:color w:val="222222"/>
          <w:sz w:val="24"/>
          <w:szCs w:val="24"/>
          <w:shd w:val="clear" w:color="auto" w:fill="FFFFFF"/>
          <w:lang w:eastAsia="it-IT"/>
        </w:rPr>
      </w:pPr>
      <w:r w:rsidRPr="001111CE">
        <w:rPr>
          <w:rFonts w:ascii="Arial" w:eastAsia="Times New Roman" w:hAnsi="Arial" w:cs="Arial"/>
          <w:i/>
          <w:iCs/>
          <w:color w:val="1D2129"/>
          <w:lang w:eastAsia="it-IT"/>
        </w:rPr>
        <w:br/>
      </w:r>
    </w:p>
    <w:p w:rsidR="001111CE" w:rsidRPr="001111CE" w:rsidRDefault="001111CE" w:rsidP="001111CE">
      <w:pPr>
        <w:spacing w:after="0" w:line="240" w:lineRule="auto"/>
        <w:rPr>
          <w:rFonts w:ascii="Times New Roman" w:eastAsia="Times New Roman" w:hAnsi="Times New Roman" w:cs="Times New Roman"/>
          <w:sz w:val="24"/>
          <w:szCs w:val="24"/>
          <w:lang w:eastAsia="it-IT"/>
        </w:rPr>
      </w:pPr>
      <w:r w:rsidRPr="001111CE">
        <w:rPr>
          <w:rFonts w:ascii="Arial" w:eastAsia="Times New Roman" w:hAnsi="Arial" w:cs="Arial"/>
          <w:i/>
          <w:iCs/>
          <w:color w:val="1D2129"/>
          <w:lang w:eastAsia="it-IT"/>
        </w:rPr>
        <w:t>Ringrazio gli Uffici per il percorso condiviso insieme, da luglio 2018 ad oggi, e per la loro abnegazione al lavoro, unita alla professionalità dimostrata dai numeri dei bilanci, nonchè l’intero Gruppo Consiliare del M5S e Perbene Ginosa &amp; Marina di Ginosa per avere approvato tutti gli atti propedeutici per questi anni, fondamentali per consolidare il grande risultato raggiunto</w:t>
      </w:r>
      <w:r w:rsidRPr="001111CE">
        <w:rPr>
          <w:rFonts w:ascii="Arial" w:eastAsia="Times New Roman" w:hAnsi="Arial" w:cs="Arial"/>
          <w:color w:val="1D2129"/>
          <w:lang w:eastAsia="it-IT"/>
        </w:rPr>
        <w:t>&gt;&gt;.</w:t>
      </w:r>
    </w:p>
    <w:p w:rsidR="001111CE" w:rsidRPr="001111CE" w:rsidRDefault="001111CE" w:rsidP="001111CE">
      <w:pPr>
        <w:shd w:val="clear" w:color="auto" w:fill="FFFFFF"/>
        <w:spacing w:after="0" w:line="240" w:lineRule="auto"/>
        <w:rPr>
          <w:rFonts w:ascii="Arial" w:eastAsia="Times New Roman" w:hAnsi="Arial" w:cs="Arial"/>
          <w:color w:val="222222"/>
          <w:sz w:val="24"/>
          <w:szCs w:val="24"/>
          <w:lang w:eastAsia="it-IT"/>
        </w:rPr>
      </w:pPr>
    </w:p>
    <w:p w:rsidR="000F36D4" w:rsidRDefault="000F36D4">
      <w:bookmarkStart w:id="0" w:name="_GoBack"/>
      <w:bookmarkEnd w:id="0"/>
    </w:p>
    <w:sectPr w:rsidR="000F36D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065C3E"/>
    <w:multiLevelType w:val="multilevel"/>
    <w:tmpl w:val="25D48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1CE"/>
    <w:rsid w:val="000F36D4"/>
    <w:rsid w:val="001111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204433">
      <w:bodyDiv w:val="1"/>
      <w:marLeft w:val="0"/>
      <w:marRight w:val="0"/>
      <w:marTop w:val="0"/>
      <w:marBottom w:val="0"/>
      <w:divBdr>
        <w:top w:val="none" w:sz="0" w:space="0" w:color="auto"/>
        <w:left w:val="none" w:sz="0" w:space="0" w:color="auto"/>
        <w:bottom w:val="none" w:sz="0" w:space="0" w:color="auto"/>
        <w:right w:val="none" w:sz="0" w:space="0" w:color="auto"/>
      </w:divBdr>
      <w:divsChild>
        <w:div w:id="21177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670</Words>
  <Characters>3824</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Ciannella</dc:creator>
  <cp:lastModifiedBy>A. Ciannella</cp:lastModifiedBy>
  <cp:revision>1</cp:revision>
  <dcterms:created xsi:type="dcterms:W3CDTF">2022-06-10T10:36:00Z</dcterms:created>
  <dcterms:modified xsi:type="dcterms:W3CDTF">2022-06-10T10:37:00Z</dcterms:modified>
</cp:coreProperties>
</file>